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3DB7" w14:textId="77777777" w:rsidR="007167D5" w:rsidRPr="0038583C" w:rsidRDefault="00000000">
      <w:pPr>
        <w:keepNext/>
        <w:spacing w:after="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t>UCHWAŁA NR …....... / …....... /2026</w:t>
      </w:r>
    </w:p>
    <w:p w14:paraId="65567D7B" w14:textId="77777777" w:rsidR="007167D5" w:rsidRPr="0038583C" w:rsidRDefault="00000000">
      <w:pPr>
        <w:keepNext/>
        <w:spacing w:after="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t>RADY GMINY DĘBNICA KASZUBSKA</w:t>
      </w:r>
    </w:p>
    <w:p w14:paraId="4218B605" w14:textId="77777777" w:rsidR="007167D5" w:rsidRPr="0038583C" w:rsidRDefault="00000000">
      <w:pPr>
        <w:keepNext/>
        <w:spacing w:after="8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z dnia 31 sierpnia 2026 r.</w:t>
      </w:r>
    </w:p>
    <w:p w14:paraId="490BAB97" w14:textId="77777777" w:rsidR="007167D5" w:rsidRPr="0038583C" w:rsidRDefault="00000000">
      <w:pPr>
        <w:spacing w:line="240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lang w:val="pl-PL"/>
        </w:rPr>
        <w:t>w sprawie dokonania zmian w przedstawionym do uchwalenia projekcie planu ogólnego gminy Dębnica Kaszubska</w:t>
      </w:r>
    </w:p>
    <w:p w14:paraId="5FC2AE86" w14:textId="77BFF655" w:rsidR="007167D5" w:rsidRPr="0038583C" w:rsidRDefault="0038583C">
      <w:pPr>
        <w:spacing w:after="12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Na podstawie art. 18 ust. 2 pkt 5 ustawy z dnia 8 marca 1990 r. o samorządzie gminnym (Dz. U. z 2026 r. poz. 662 ze zm.) oraz art. 13j ust. 1 i 2 w związku z art. 13i ust. 3 pkt 4, pkt 5 lit. b, pkt 6 lit. b, pkt 11 i 12 ustawy z dnia 27 marca 2003 r. o planowaniu i zagospodarowaniu przestrzennym (Dz. U. z 2026 r. poz. 538 i 781</w:t>
      </w:r>
      <w:r w:rsidRPr="0038583C">
        <w:rPr>
          <w:rFonts w:cs="Arial"/>
          <w:lang w:val="pl-PL"/>
        </w:rPr>
        <w:t>) uchwala</w:t>
      </w:r>
      <w:r w:rsidRPr="0038583C">
        <w:rPr>
          <w:rFonts w:cs="Arial"/>
          <w:lang w:val="pl-PL"/>
        </w:rPr>
        <w:t xml:space="preserve"> się, co </w:t>
      </w:r>
      <w:r w:rsidRPr="0038583C">
        <w:rPr>
          <w:rFonts w:cs="Arial"/>
          <w:lang w:val="pl-PL"/>
        </w:rPr>
        <w:t>następuje:</w:t>
      </w:r>
    </w:p>
    <w:p w14:paraId="699F9719" w14:textId="3FFC9508" w:rsidR="0038583C" w:rsidRPr="0038583C" w:rsidRDefault="00000000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§ 1.1. Rada gminy stwierdza konieczność dokonania zmian w przedstawionym do uchwalenia projekcie planu ogólnego, w tym także w wyniku uwzględnienia uwag lub wniosków do projektu planu ogólnego wymagających ponowienia uzgodnień – </w:t>
      </w:r>
      <w:r w:rsidR="0038583C" w:rsidRPr="0038583C">
        <w:rPr>
          <w:rFonts w:cs="Arial"/>
          <w:lang w:val="pl-PL"/>
        </w:rPr>
        <w:t>czynności,</w:t>
      </w:r>
      <w:r w:rsidRPr="0038583C">
        <w:rPr>
          <w:rFonts w:cs="Arial"/>
          <w:lang w:val="pl-PL"/>
        </w:rPr>
        <w:t xml:space="preserve"> o których mowa w art. 13 ust.3 pkt.4, pkt.5 </w:t>
      </w:r>
      <w:r w:rsidR="0038583C" w:rsidRPr="0038583C">
        <w:rPr>
          <w:rFonts w:cs="Arial"/>
          <w:lang w:val="pl-PL"/>
        </w:rPr>
        <w:t>lit.</w:t>
      </w:r>
      <w:r w:rsidRPr="0038583C">
        <w:rPr>
          <w:rFonts w:cs="Arial"/>
          <w:lang w:val="pl-PL"/>
        </w:rPr>
        <w:t xml:space="preserve">, pkt6 </w:t>
      </w:r>
      <w:r w:rsidR="0038583C" w:rsidRPr="0038583C">
        <w:rPr>
          <w:rFonts w:cs="Arial"/>
          <w:lang w:val="pl-PL"/>
        </w:rPr>
        <w:t>lit.</w:t>
      </w:r>
      <w:r w:rsidRPr="0038583C">
        <w:rPr>
          <w:rFonts w:cs="Arial"/>
          <w:lang w:val="pl-PL"/>
        </w:rPr>
        <w:t>, pkt 11 i 12, ponawia się w zakresie niezbędnym do dokonania tych zmian.</w:t>
      </w:r>
    </w:p>
    <w:p w14:paraId="175CA13D" w14:textId="77777777" w:rsidR="007167D5" w:rsidRPr="0038583C" w:rsidRDefault="00000000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2. Granicami obszaru objętego zmianą projektu planu ogólnego są granice obrębu Dobieszewo tj. obszaru objętego strefami, 26SO, 28SO,</w:t>
      </w:r>
    </w:p>
    <w:p w14:paraId="45694052" w14:textId="5554F11E" w:rsidR="0038583C" w:rsidRPr="0038583C" w:rsidRDefault="0038583C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3. </w:t>
      </w:r>
      <w:r w:rsidRPr="0038583C">
        <w:rPr>
          <w:rFonts w:cs="Arial"/>
          <w:lang w:val="pl-PL"/>
        </w:rPr>
        <w:t>Zakres zmian, o których mowa w § 1 ust.</w:t>
      </w:r>
      <w:r w:rsidRPr="0038583C">
        <w:rPr>
          <w:rFonts w:cs="Arial"/>
          <w:lang w:val="pl-PL"/>
        </w:rPr>
        <w:t>1 obejmuje</w:t>
      </w:r>
      <w:r w:rsidRPr="0038583C">
        <w:rPr>
          <w:rFonts w:cs="Arial"/>
          <w:lang w:val="pl-PL"/>
        </w:rPr>
        <w:t>:</w:t>
      </w:r>
      <w:r w:rsidRPr="0038583C">
        <w:rPr>
          <w:rFonts w:cs="Arial"/>
          <w:lang w:val="pl-PL"/>
        </w:rPr>
        <w:br/>
        <w:t>1) w strefie planistycznej 26SO - usunięcie z profilu dodatkowego terenu elektrowni słonecznej;</w:t>
      </w:r>
      <w:r w:rsidRPr="0038583C">
        <w:rPr>
          <w:rFonts w:cs="Arial"/>
          <w:lang w:val="pl-PL"/>
        </w:rPr>
        <w:br/>
        <w:t>2) w strefie planistycznej 28SO - usunięcie z profilu dodatkowego terenu elektrowni wiatrowej oraz terenu elektrowni słonecznej.</w:t>
      </w:r>
    </w:p>
    <w:p w14:paraId="57A26472" w14:textId="77777777" w:rsidR="007167D5" w:rsidRPr="0038583C" w:rsidRDefault="00000000">
      <w:pPr>
        <w:spacing w:after="6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§ 2. Wykonanie uchwały powierza się Wójtowi Gminy Dębnica Kaszubska.</w:t>
      </w:r>
    </w:p>
    <w:p w14:paraId="0BF4479A" w14:textId="77777777" w:rsidR="007167D5" w:rsidRPr="0038583C" w:rsidRDefault="00000000">
      <w:pPr>
        <w:spacing w:after="280" w:line="240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§ 3. Uchwała wchodzi w życie z dniem podjęcia.</w:t>
      </w:r>
    </w:p>
    <w:p w14:paraId="356B9EC9" w14:textId="77777777" w:rsidR="007167D5" w:rsidRPr="0038583C" w:rsidRDefault="00000000">
      <w:pPr>
        <w:spacing w:after="24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Przewodniczący Rady Gminy Dębnica Kaszubska</w:t>
      </w:r>
    </w:p>
    <w:p w14:paraId="7CB75590" w14:textId="77777777" w:rsidR="007167D5" w:rsidRPr="0038583C" w:rsidRDefault="00000000">
      <w:pPr>
        <w:spacing w:after="400" w:line="240" w:lineRule="auto"/>
        <w:jc w:val="center"/>
        <w:rPr>
          <w:rFonts w:cs="Arial"/>
          <w:lang w:val="pl-PL"/>
        </w:rPr>
      </w:pPr>
      <w:r w:rsidRPr="0038583C">
        <w:rPr>
          <w:rFonts w:cs="Arial"/>
          <w:lang w:val="pl-PL"/>
        </w:rPr>
        <w:t>….............................................................................</w:t>
      </w:r>
    </w:p>
    <w:p w14:paraId="6494EA21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1810A60C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06C6194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03276F70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3D53CD59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BA2D3C6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4DEDFF44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03FCE098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F0CC516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CF1D2B8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76BDE0A7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3E7259A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38E093FE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2C9C9D6B" w14:textId="77777777" w:rsidR="0038583C" w:rsidRDefault="0038583C" w:rsidP="0038583C">
      <w:pPr>
        <w:spacing w:after="120" w:line="252" w:lineRule="auto"/>
        <w:jc w:val="center"/>
        <w:rPr>
          <w:rFonts w:cs="Arial"/>
          <w:b/>
          <w:sz w:val="24"/>
          <w:lang w:val="pl-PL"/>
        </w:rPr>
      </w:pPr>
    </w:p>
    <w:p w14:paraId="715466FA" w14:textId="1A9A4D85" w:rsidR="0038583C" w:rsidRPr="0038583C" w:rsidRDefault="0038583C" w:rsidP="0038583C">
      <w:pPr>
        <w:spacing w:after="120" w:line="252" w:lineRule="auto"/>
        <w:jc w:val="center"/>
        <w:rPr>
          <w:rFonts w:cs="Arial"/>
          <w:lang w:val="pl-PL"/>
        </w:rPr>
      </w:pPr>
      <w:r w:rsidRPr="0038583C">
        <w:rPr>
          <w:rFonts w:cs="Arial"/>
          <w:b/>
          <w:sz w:val="24"/>
          <w:lang w:val="pl-PL"/>
        </w:rPr>
        <w:lastRenderedPageBreak/>
        <w:t>UZASADNIENIE</w:t>
      </w:r>
    </w:p>
    <w:p w14:paraId="4DFF6879" w14:textId="3F22306D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Do</w:t>
      </w:r>
      <w:r w:rsidRPr="0038583C">
        <w:rPr>
          <w:rFonts w:cs="Arial"/>
          <w:lang w:val="pl-PL"/>
        </w:rPr>
        <w:t xml:space="preserve"> uchwały w sprawie dokonania zmian w przedstawionym do uchwalenia projekcie planu ogólnego gminy Dębnica Kaszubska.</w:t>
      </w:r>
    </w:p>
    <w:p w14:paraId="5A57DA46" w14:textId="77777777" w:rsidR="0038583C" w:rsidRPr="0038583C" w:rsidRDefault="0038583C" w:rsidP="0038583C">
      <w:pPr>
        <w:spacing w:after="160" w:line="278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 xml:space="preserve">Zgodnie z art. 13j ust. 1 i 2 ustawy o planowaniu i zagospodarowaniu przestrzennym </w:t>
      </w:r>
      <w:r w:rsidRPr="0038583C">
        <w:rPr>
          <w:rFonts w:eastAsia="Times New Roman" w:cs="Arial"/>
          <w:lang w:val="pl-PL"/>
        </w:rPr>
        <w:t>(Dz. U. z 2026 r. poz. 538 i 781)</w:t>
      </w:r>
      <w:r w:rsidRPr="0038583C">
        <w:rPr>
          <w:rFonts w:cs="Arial"/>
          <w:lang w:val="pl-PL"/>
        </w:rPr>
        <w:t xml:space="preserve"> rada gminy może stwierdzić konieczność dokonania zmian w projekcie planu ogólnego przedstawionym jej do uchwalenia. Skutkiem takiego rozstrzygnięcia jest ponowienie, w zakresie niezbędnym do dokonania zmian, czynności wskazanych w art. 13j ust. 1 tej ustawy, przy czym przedmiotem ponownych czynności może być jedynie część projektu objęta zmianą.</w:t>
      </w:r>
    </w:p>
    <w:p w14:paraId="775D93FB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 przedstawionej propozycji ustaleń projektu planu ogólnego dotyczącej obrębu Dobieszewo wskazano, że w przypadku strefy 26SO pozostawienie dodatkowego profilu funkcjonalnego „teren elektrowni słonecznej „uzasadniany jest m.in. uchwałą nr LV/409/2023 Rady Gminy Dębnica Kaszubska z dnia 9 lutego 2023 rok. W odniesieniu do 28SO wskazano natomiast na obowiązujący miejscowy plan zagospodarowania przestrzennego z 2013 r. oraz na część obszaru objętą procedurą zmiany MPZP rozpoczętą wskazaną uchwałą.</w:t>
      </w:r>
    </w:p>
    <w:p w14:paraId="5C02FB3E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Faktem jest istnienie uchwały LV/409/2023 oraz konieczności uwzględnienia prowadzonej procedury planistycznej. Należy jednak rozróżnić uchwałę o przystąpieniu do sporządzenia zmiany miejscowego planu zagospodarowania przestrzennego od uchwalonej zmiany tego planu. Uchwała LV/409/2023 jest uchwałą o przystąpieniu do sporządzenia zmiany MPZP.</w:t>
      </w:r>
    </w:p>
    <w:p w14:paraId="796D6B7C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Istotnym jest, iż w oficjalnym rejestrze danych planistycznych Gminy Dębnica Kaszubska nadal figuruje powyższa zmiana ze statusem „w opracowaniu”. (debnicakaszubska.e-mapa.net</w:t>
      </w:r>
      <w:r w:rsidRPr="0038583C">
        <w:rPr>
          <w:rFonts w:ascii="Segoe UI Symbol" w:hAnsi="Segoe UI Symbol" w:cs="Segoe UI Symbol"/>
          <w:lang w:val="pl-PL"/>
        </w:rPr>
        <w:t>⁠</w:t>
      </w:r>
      <w:r w:rsidRPr="0038583C">
        <w:rPr>
          <w:rFonts w:cs="Arial"/>
          <w:lang w:val="pl-PL"/>
        </w:rPr>
        <w:t>). Sama uchwała określa zakres procedury zmiany konkretnego miejscowego planu zagospodarowania przestrzennego. Nie jest natomiast uchwaloną zmianą tego planu i nie ustanawia sama w sobie nowego przeznaczenia terenów. W związku z tym, sam fakt podjęcia uchwały o przystąpieniu do zmiany MPZP, a tym bardziej fakt, że procedura ta nadal pozostaje w opracowaniu, nie może być automatycznie utożsamiany z obowiązkiem zachowania w planie ogólnym dodatkowego profilu umożliwiającego lokalizację nowych elektrowni słonecznych lub wiatrowych. Plan ogólny określa strefy planistyczne oraz ich profile funkcjonalne. Zgodnie z ustawą o planowaniu i zagospodarowaniu przestrzennym zgodność planu miejscowego z planem ogólnym obejmuje m.in. zgodność przeznaczenia terenu z profilem funkcjonalnym strefy planistycznej. Oznacza to, że pozostawienie w strefie otwartej dodatkowego profilu „teren elektrowni, słonecznej” lub „teren elektrowni wiatrowej” nie jest wyłącznie zapisem informacyjnym. Utrzymuje ono możliwość wykorzystania tych funkcji w przyszłym planowaniu miejscowym. W konsekwencji należy ponownie przeanalizować, czy istnieje rzeczywisty prawny obowiązek zachowania tych profili w strefach 26SO i 28SO.</w:t>
      </w:r>
    </w:p>
    <w:p w14:paraId="75C17ED0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Szczególnego wyjaśnienia wymaga powoływanie się na uchwałę LV/409/</w:t>
      </w:r>
      <w:proofErr w:type="gramStart"/>
      <w:r w:rsidRPr="0038583C">
        <w:rPr>
          <w:rFonts w:cs="Arial"/>
          <w:lang w:val="pl-PL"/>
        </w:rPr>
        <w:t>2023,</w:t>
      </w:r>
      <w:proofErr w:type="gramEnd"/>
      <w:r w:rsidRPr="0038583C">
        <w:rPr>
          <w:rFonts w:cs="Arial"/>
          <w:lang w:val="pl-PL"/>
        </w:rPr>
        <w:t xml:space="preserve"> jako argumentu uzasadniający pozostawienie profili OZE. Rozpoczęta tą uchwałą procedura zmiany MPZP może być uwzględniona w pracach nad planem ogólnym, jednak nie wynika z tego automatycznie, że w planie ogólnym musi zostać zachowana możliwość realizacji kolejnych inwestycji OZE.</w:t>
      </w:r>
    </w:p>
    <w:p w14:paraId="1B2ADAB1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Nie wskazano bowiem konkretnej podstawy prawnej, z której wynikałby obowiązek pozostawienia w projekcie planu ogólnego:</w:t>
      </w:r>
    </w:p>
    <w:p w14:paraId="561465C8" w14:textId="77777777" w:rsidR="0038583C" w:rsidRPr="0038583C" w:rsidRDefault="0038583C" w:rsidP="0038583C">
      <w:pPr>
        <w:spacing w:after="120" w:line="252" w:lineRule="auto"/>
        <w:ind w:left="340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* w strefie 26SO –profilu „teren elektrowni słonecznej”,</w:t>
      </w:r>
    </w:p>
    <w:p w14:paraId="67918D4F" w14:textId="77777777" w:rsidR="0038583C" w:rsidRPr="0038583C" w:rsidRDefault="0038583C" w:rsidP="0038583C">
      <w:pPr>
        <w:spacing w:after="120" w:line="252" w:lineRule="auto"/>
        <w:ind w:left="340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* w strefie 28SO –profili „teren elektrowni wiatrowej „i „teren elektrowni słonecznej”,</w:t>
      </w:r>
    </w:p>
    <w:p w14:paraId="55E6FFDE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lastRenderedPageBreak/>
        <w:t>wyłącznie z uwagi na uchwałę LV/409/2023 oraz prowadzoną na jej podstawie procedurę zmiany MPZP.</w:t>
      </w:r>
    </w:p>
    <w:p w14:paraId="19F2BE45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 przypadku 28SO mieszkańcy nie kwestionuję obowiązywania istniejącego MPZP ani istniejących elektrowni wiatrowych.</w:t>
      </w:r>
    </w:p>
    <w:p w14:paraId="107A0FA5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Wnioski oraz uwagi mieszkańców nie dotyczą likwidacji istniejących elektrowni ani ingerowania w prawa wynikające zobowiązujących aktów planistycznych. Dotyczy natomiast przyszłych możliwości zagospodarowania terenu i tego, czy plan ogólny powinien nadal otwierać możliwość realizacji kolejnych inwestycji OZE.</w:t>
      </w:r>
    </w:p>
    <w:p w14:paraId="35B6F7B9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Sam fakt, że na danym obszarze istnieją już elektrownie wiatrowe, nie może automatycznie przesądzać o konieczności dalszego przeznaczania tego obszaru pod energetykę odnawialną.</w:t>
      </w:r>
    </w:p>
    <w:p w14:paraId="474A3253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Chodzi bowiem o przyjęcie spójnego rozwiązania dla tego obszaru i niedopuszczanie do dalszego utrwalania koncentracji terenów związanych z energetyką OZE.</w:t>
      </w:r>
    </w:p>
    <w:p w14:paraId="047963E3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Celem uchwały jest zatem nie likwidacja istniejących inwestycji OZE, lecz niedopuszczenie do dalszego otwierania możliwości lokalizacji nowych elektrowni wiatrowych i słonecznych na wskazanym obszarze sołectwa Dobieszewo.</w:t>
      </w:r>
    </w:p>
    <w:p w14:paraId="3FF9A4C0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Ustalenia planu ogólnego, w zakresie określonym w ustawie, będą wiążące przy sporządzaniu miejscowych planów zagospodarowania przestrzennego oraz ustalaniu warunków zabudowy w drodze decyzji administracyjnej. Celem projektu jest uwzględnienie zgłaszanych przez mieszkańców postulatów dotyczących ograniczenia możliwości dalszego lokalizowania nowych elektrowni wiatrowych i słonecznych na obszarze stref 26SO i 28SO. Rozstrzygnięcie to mieści się w sferze polityki przestrzennej gminy, z zastrzeżeniem obowiązku uwzględnienia wszystkich ustawowych uwarunkowań i przeprowadzenia czynności wymaganych w art. 13j ustawy o planowaniu i zagospodarowaniu przestrzennym</w:t>
      </w:r>
    </w:p>
    <w:p w14:paraId="673236CF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Biorąc zaś pod uwagę obowiązek radnych wynikający w szczególności ze ślubowania (</w:t>
      </w:r>
      <w:proofErr w:type="gramStart"/>
      <w:r w:rsidRPr="0038583C">
        <w:rPr>
          <w:rFonts w:cs="Arial"/>
          <w:lang w:val="pl-PL"/>
        </w:rPr>
        <w:t>cyt. )</w:t>
      </w:r>
      <w:proofErr w:type="gramEnd"/>
      <w:r w:rsidRPr="0038583C">
        <w:rPr>
          <w:rFonts w:cs="Arial"/>
          <w:lang w:val="pl-PL"/>
        </w:rPr>
        <w:t>:</w:t>
      </w:r>
    </w:p>
    <w:p w14:paraId="0C6D93F8" w14:textId="77777777" w:rsidR="0038583C" w:rsidRPr="0038583C" w:rsidRDefault="0038583C" w:rsidP="0038583C">
      <w:pPr>
        <w:spacing w:after="120" w:line="252" w:lineRule="auto"/>
        <w:jc w:val="both"/>
        <w:rPr>
          <w:rFonts w:cs="Arial"/>
          <w:lang w:val="pl-PL"/>
        </w:rPr>
      </w:pPr>
      <w:r w:rsidRPr="0038583C">
        <w:rPr>
          <w:rFonts w:cs="Arial"/>
          <w:lang w:val="pl-PL"/>
        </w:rPr>
        <w:t>„wierny konstytucji i prawu rzeczypospolitej polskiej, ślubuję uroczyście obowiązki radnego sprawować godnie, rzetelnie i uczciwie, mając na względzie dobro mojej gminy i jej mieszkańców” w świetle jednoznacznego stanowiska lokalnej społeczności oraz realizacji przysługujących tej społeczności praw należy przyjąć, iż uchwała nie wywoła negatywnych skutków społecznych, jak też finansowych.</w:t>
      </w:r>
    </w:p>
    <w:p w14:paraId="7BB02D2F" w14:textId="3366298A" w:rsidR="007167D5" w:rsidRPr="0038583C" w:rsidRDefault="007167D5" w:rsidP="0038583C">
      <w:pPr>
        <w:spacing w:after="160" w:line="240" w:lineRule="auto"/>
        <w:jc w:val="center"/>
        <w:rPr>
          <w:rFonts w:cs="Arial"/>
          <w:lang w:val="pl-PL"/>
        </w:rPr>
      </w:pPr>
    </w:p>
    <w:sectPr w:rsidR="007167D5" w:rsidRPr="003858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2904456">
    <w:abstractNumId w:val="8"/>
  </w:num>
  <w:num w:numId="2" w16cid:durableId="1697004523">
    <w:abstractNumId w:val="6"/>
  </w:num>
  <w:num w:numId="3" w16cid:durableId="943263500">
    <w:abstractNumId w:val="5"/>
  </w:num>
  <w:num w:numId="4" w16cid:durableId="1715495595">
    <w:abstractNumId w:val="4"/>
  </w:num>
  <w:num w:numId="5" w16cid:durableId="719717789">
    <w:abstractNumId w:val="7"/>
  </w:num>
  <w:num w:numId="6" w16cid:durableId="569778928">
    <w:abstractNumId w:val="3"/>
  </w:num>
  <w:num w:numId="7" w16cid:durableId="1898204208">
    <w:abstractNumId w:val="2"/>
  </w:num>
  <w:num w:numId="8" w16cid:durableId="1904291441">
    <w:abstractNumId w:val="1"/>
  </w:num>
  <w:num w:numId="9" w16cid:durableId="55242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583C"/>
    <w:rsid w:val="00653FAE"/>
    <w:rsid w:val="007167D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A9838"/>
  <w14:defaultImageDpi w14:val="300"/>
  <w15:docId w15:val="{37EC596D-07AD-435F-934A-AEF5F334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1036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Jędrzej Kuczma</cp:lastModifiedBy>
  <cp:revision>2</cp:revision>
  <dcterms:created xsi:type="dcterms:W3CDTF">2013-12-23T23:15:00Z</dcterms:created>
  <dcterms:modified xsi:type="dcterms:W3CDTF">2026-08-31T17:58:00Z</dcterms:modified>
  <cp:category/>
</cp:coreProperties>
</file>